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70" w:rsidRDefault="00881470" w:rsidP="0088147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附件一：</w:t>
      </w:r>
    </w:p>
    <w:p w:rsidR="00881470" w:rsidRDefault="00881470" w:rsidP="0088147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编制依据：</w:t>
      </w:r>
    </w:p>
    <w:p w:rsidR="00881470" w:rsidRDefault="00881470" w:rsidP="00881470">
      <w:pPr>
        <w:numPr>
          <w:ilvl w:val="0"/>
          <w:numId w:val="1"/>
        </w:num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《涂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装前钢材表面锈蚀等级和除锈等级》GB8923-88</w:t>
      </w:r>
    </w:p>
    <w:p w:rsidR="00881470" w:rsidRDefault="00881470" w:rsidP="00881470">
      <w:pPr>
        <w:numPr>
          <w:ilvl w:val="0"/>
          <w:numId w:val="1"/>
        </w:num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《石油化工设备和管道涂料防腐蚀设计规范》SH/T3022-2011</w:t>
      </w:r>
    </w:p>
    <w:p w:rsidR="00881470" w:rsidRDefault="00881470" w:rsidP="00881470">
      <w:pPr>
        <w:numPr>
          <w:ilvl w:val="0"/>
          <w:numId w:val="1"/>
        </w:num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《工业设备、管道防腐蚀施工及验收规范》HGJ22-91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一、</w:t>
      </w:r>
      <w:r>
        <w:rPr>
          <w:rFonts w:ascii="仿宋" w:eastAsia="仿宋" w:hAnsi="仿宋" w:cs="仿宋" w:hint="eastAsia"/>
          <w:sz w:val="32"/>
          <w:szCs w:val="32"/>
        </w:rPr>
        <w:t xml:space="preserve"> 防腐措施要求、</w:t>
      </w:r>
      <w:r>
        <w:rPr>
          <w:rFonts w:ascii="仿宋" w:eastAsia="仿宋" w:hAnsi="仿宋" w:cs="仿宋" w:hint="eastAsia"/>
          <w:bCs/>
          <w:sz w:val="32"/>
          <w:szCs w:val="32"/>
        </w:rPr>
        <w:t>：</w:t>
      </w:r>
    </w:p>
    <w:p w:rsidR="00881470" w:rsidRDefault="00881470" w:rsidP="00881470">
      <w:pPr>
        <w:tabs>
          <w:tab w:val="left" w:pos="420"/>
          <w:tab w:val="left" w:pos="630"/>
          <w:tab w:val="left" w:pos="840"/>
        </w:tabs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1、管道内壁防腐采用机械喷砂除锈达到GB8923－88标准Sa2.5级，涂刷环氧带锈底漆二道，涂刷厚浆型环氧煤焦油沥青漆面漆四道，涂层总厚度不少于350um。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2、管道外壁除锈防腐采用电动砂轮机除锈，除锈达到GB8923－88标准St3级，涂刷环氧带锈底漆二道，涂刷丙烯酸聚氨酯面漆二道，涂层总厚度不少于160um。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</w:t>
      </w:r>
      <w:r>
        <w:rPr>
          <w:rFonts w:ascii="仿宋" w:eastAsia="仿宋" w:hAnsi="仿宋" w:cs="仿宋" w:hint="eastAsia"/>
          <w:bCs/>
          <w:sz w:val="32"/>
          <w:szCs w:val="32"/>
        </w:rPr>
        <w:t>施工工艺及技术要求</w:t>
      </w:r>
    </w:p>
    <w:p w:rsidR="00881470" w:rsidRDefault="00881470" w:rsidP="0088147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1、管道除锈施工：</w:t>
      </w:r>
      <w:r>
        <w:rPr>
          <w:rFonts w:ascii="仿宋" w:eastAsia="仿宋" w:hAnsi="仿宋" w:cs="仿宋" w:hint="eastAsia"/>
          <w:sz w:val="32"/>
          <w:szCs w:val="32"/>
        </w:rPr>
        <w:t>管道内壁喷砂除锈，其质量标准应达到《涂装前钢材表面锈蚀等级和除锈等级》GB8923-88中规定的Sa2.5级，喷砂后的表面应无可见油脂、污垢、氧化皮、铁锈等附着物，任何残留痕迹应仅是点状的或条纹状的轻微色斑为合格。管道外壁砂轮机除锈，其质量标准应达到《涂装前钢材表面锈蚀等级和除锈等级》GB8923-88中规定的St3级，除锈后钢材表面应无可见的油脂和污垢，并且没有附着不牢的氧化皮、铁锈等附着物。所有经处理后的表面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均应在4小时内涂底漆。若不能及时涂底漆或在涂装前表面被雨淋湿，出现返锈或表面污染时，必须重新进行表面预处理。</w:t>
      </w:r>
    </w:p>
    <w:p w:rsidR="00881470" w:rsidRDefault="00881470" w:rsidP="0088147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</w:rPr>
        <w:t>2、涂料施工：除锈合格后应在4小时内涂底漆一道，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间隔不少于24小时后刷涂第二道底漆。面漆按要求的遍数施工，每道间隔不少于24小时。</w:t>
      </w:r>
    </w:p>
    <w:p w:rsidR="00881470" w:rsidRDefault="00881470" w:rsidP="0088147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3、施工时应注意对管道内外关键部位的保护,防止施工材料及残渣进入关键部位（上下橡皮轴承、轴承、动叶轮、动叶轮和叶轮室壁之间的间隙、拍门传动轴，拍门的止水橡皮）</w:t>
      </w:r>
    </w:p>
    <w:p w:rsidR="00881470" w:rsidRDefault="00881470" w:rsidP="0088147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</w:rPr>
        <w:t>4、</w:t>
      </w:r>
      <w:r>
        <w:rPr>
          <w:rFonts w:ascii="仿宋" w:eastAsia="仿宋" w:hAnsi="仿宋" w:hint="eastAsia"/>
          <w:sz w:val="32"/>
          <w:szCs w:val="32"/>
        </w:rPr>
        <w:t>拍门</w:t>
      </w:r>
      <w:r>
        <w:rPr>
          <w:rFonts w:ascii="仿宋" w:eastAsia="仿宋" w:hAnsi="仿宋" w:hint="eastAsia"/>
          <w:sz w:val="32"/>
          <w:szCs w:val="32"/>
          <w:lang w:val="en-GB"/>
        </w:rPr>
        <w:t xml:space="preserve">裂纹焊接修复： </w:t>
      </w:r>
      <w:r>
        <w:rPr>
          <w:rFonts w:ascii="仿宋" w:eastAsia="仿宋" w:hAnsi="仿宋" w:hint="eastAsia"/>
          <w:sz w:val="32"/>
          <w:szCs w:val="32"/>
        </w:rPr>
        <w:t>拍门</w:t>
      </w:r>
      <w:r>
        <w:rPr>
          <w:rFonts w:ascii="仿宋" w:eastAsia="仿宋" w:hAnsi="仿宋" w:hint="eastAsia"/>
          <w:sz w:val="32"/>
          <w:szCs w:val="32"/>
          <w:lang w:val="en-GB"/>
        </w:rPr>
        <w:t>裂纹焊接前至少一周前应将内部机油放干净，进出口敞开让油气散发掉，焊接前再用压缩风吹扫至内部可燃气浓度降到爆炸极限以下，用可燃气体检测仪检测合格后方可焊接。</w:t>
      </w:r>
    </w:p>
    <w:p w:rsidR="00881470" w:rsidRDefault="00881470" w:rsidP="0088147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</w:t>
      </w:r>
      <w:r>
        <w:rPr>
          <w:rFonts w:ascii="仿宋" w:eastAsia="仿宋" w:hAnsi="仿宋" w:hint="eastAsia"/>
          <w:sz w:val="32"/>
          <w:szCs w:val="32"/>
          <w:lang w:val="en-GB"/>
        </w:rPr>
        <w:t xml:space="preserve">连接螺栓更换：管道外部连接螺栓逐根更换，旧螺栓拆除后同时进行该部位法兰面除锈刷底漆，底漆固化后安装新螺栓。新螺栓由招标人提供。                                              </w:t>
      </w:r>
      <w:r>
        <w:rPr>
          <w:rFonts w:hint="eastAsia"/>
          <w:sz w:val="28"/>
          <w:lang w:val="en-GB"/>
        </w:rPr>
        <w:t xml:space="preserve">        </w:t>
      </w:r>
    </w:p>
    <w:p w:rsidR="00881470" w:rsidRDefault="00881470" w:rsidP="00881470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6、涂层质量：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3060"/>
        <w:gridCol w:w="2880"/>
      </w:tblGrid>
      <w:tr w:rsidR="00881470" w:rsidTr="00502F77">
        <w:trPr>
          <w:trHeight w:val="90"/>
        </w:trPr>
        <w:tc>
          <w:tcPr>
            <w:tcW w:w="3600" w:type="dxa"/>
          </w:tcPr>
          <w:p w:rsidR="00881470" w:rsidRDefault="00881470" w:rsidP="00502F7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检查项目</w:t>
            </w:r>
          </w:p>
        </w:tc>
        <w:tc>
          <w:tcPr>
            <w:tcW w:w="3060" w:type="dxa"/>
          </w:tcPr>
          <w:p w:rsidR="00881470" w:rsidRDefault="00881470" w:rsidP="00502F7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质量要求</w:t>
            </w:r>
          </w:p>
        </w:tc>
        <w:tc>
          <w:tcPr>
            <w:tcW w:w="2880" w:type="dxa"/>
          </w:tcPr>
          <w:p w:rsidR="00881470" w:rsidRDefault="00881470" w:rsidP="00502F7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检查方法</w:t>
            </w:r>
          </w:p>
        </w:tc>
      </w:tr>
      <w:tr w:rsidR="00881470" w:rsidTr="00502F77">
        <w:trPr>
          <w:trHeight w:val="308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脱皮、漏涂、返锈、气泡、透底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不允许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目视检查</w:t>
            </w:r>
          </w:p>
        </w:tc>
      </w:tr>
      <w:tr w:rsidR="00881470" w:rsidTr="00502F77">
        <w:trPr>
          <w:trHeight w:val="28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针孔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不允许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5~10倍放大镜</w:t>
            </w:r>
          </w:p>
        </w:tc>
      </w:tr>
      <w:tr w:rsidR="00881470" w:rsidTr="00502F77">
        <w:trPr>
          <w:trHeight w:val="42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流挂、皱皮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不允许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目视检查</w:t>
            </w:r>
          </w:p>
        </w:tc>
      </w:tr>
      <w:tr w:rsidR="00881470" w:rsidTr="00502F77">
        <w:trPr>
          <w:trHeight w:val="26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光亮与光滑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光亮、均匀一致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目视检查</w:t>
            </w:r>
          </w:p>
        </w:tc>
      </w:tr>
      <w:tr w:rsidR="00881470" w:rsidTr="00502F77">
        <w:trPr>
          <w:trHeight w:val="30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分色界限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允许偏差为3mm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目视检查</w:t>
            </w:r>
          </w:p>
        </w:tc>
      </w:tr>
      <w:tr w:rsidR="00881470" w:rsidTr="00502F77">
        <w:trPr>
          <w:trHeight w:val="14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颜色、刷纹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颜色一致，纹理通顺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目视检查</w:t>
            </w:r>
          </w:p>
        </w:tc>
      </w:tr>
      <w:tr w:rsidR="00881470" w:rsidTr="00502F77">
        <w:trPr>
          <w:trHeight w:val="260"/>
        </w:trPr>
        <w:tc>
          <w:tcPr>
            <w:tcW w:w="360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干燥漆膜厚</w:t>
            </w:r>
          </w:p>
        </w:tc>
        <w:tc>
          <w:tcPr>
            <w:tcW w:w="306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执行两个80%的原则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A</w:t>
            </w:r>
          </w:p>
        </w:tc>
        <w:tc>
          <w:tcPr>
            <w:tcW w:w="2880" w:type="dxa"/>
          </w:tcPr>
          <w:p w:rsidR="00881470" w:rsidRDefault="00881470" w:rsidP="00502F7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涂层测厚仪</w:t>
            </w:r>
          </w:p>
        </w:tc>
      </w:tr>
    </w:tbl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  <w:lang w:val="en-GB"/>
        </w:rPr>
        <w:lastRenderedPageBreak/>
        <w:t>三、质量保证措施与质量控制点：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  <w:lang w:val="en-GB"/>
        </w:rPr>
        <w:t>1、施工前须对参与此项施工的作业人员进行技术交底，熟悉施工规范，了解材料的使用性能，熟悉施工方案内容。</w:t>
      </w:r>
    </w:p>
    <w:p w:rsidR="00881470" w:rsidRDefault="00881470" w:rsidP="00881470">
      <w:pPr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  <w:lang w:val="en-GB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2、严把材料质量验收关，分类堆放，防止材料混淆而造成意外，所有进场材料必须提供齐全的合格证、检测报告及使用说明书，</w:t>
      </w:r>
      <w:r>
        <w:rPr>
          <w:rFonts w:ascii="仿宋" w:eastAsia="仿宋" w:hAnsi="仿宋" w:cs="仿宋" w:hint="eastAsia"/>
          <w:sz w:val="32"/>
          <w:szCs w:val="32"/>
        </w:rPr>
        <w:t>需在以下三个合格品牌（ 无锡市太湖防腐材料有限公司云湖涂料、常州市特种涂料有限公司天宁涂料、安徽菱湖漆股份有限公司菱湖油漆）中任选其一作为本次施工涂料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。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  <w:lang w:val="en-GB"/>
        </w:rPr>
        <w:t>3、严格执行施工质量“三检”制度，不合格处应及时整改，各工序自检合格后才能报请招标方验收确定，方可进行下道工序施工。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4、为保证防腐施工质量，要求在晴天和相对湿度≤85%的无雨天气进行施工。</w:t>
      </w:r>
    </w:p>
    <w:p w:rsidR="00881470" w:rsidRDefault="00881470" w:rsidP="0088147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5、本工程的质保期为5年。</w:t>
      </w:r>
    </w:p>
    <w:p w:rsidR="00881470" w:rsidRDefault="00881470" w:rsidP="00881470">
      <w:pPr>
        <w:tabs>
          <w:tab w:val="left" w:pos="390"/>
          <w:tab w:val="left" w:pos="2850"/>
        </w:tabs>
        <w:ind w:firstLineChars="200" w:firstLine="640"/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</w:rPr>
        <w:t>6、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质量控制点：</w:t>
      </w:r>
    </w:p>
    <w:p w:rsidR="00881470" w:rsidRDefault="00881470" w:rsidP="00881470">
      <w:pPr>
        <w:rPr>
          <w:rFonts w:ascii="仿宋" w:eastAsia="仿宋" w:hAnsi="仿宋" w:cs="仿宋"/>
          <w:sz w:val="32"/>
          <w:szCs w:val="32"/>
          <w:lang w:val="en-GB"/>
        </w:rPr>
      </w:pPr>
      <w:r>
        <w:rPr>
          <w:rFonts w:ascii="仿宋" w:eastAsia="仿宋" w:hAnsi="仿宋" w:cs="仿宋" w:hint="eastAsia"/>
          <w:sz w:val="32"/>
          <w:szCs w:val="32"/>
          <w:lang w:val="en-GB"/>
        </w:rPr>
        <w:t xml:space="preserve">检验依据的规范、标准SH3022-1999  </w:t>
      </w:r>
      <w:r>
        <w:rPr>
          <w:rFonts w:ascii="仿宋" w:eastAsia="仿宋" w:hAnsi="仿宋" w:cs="仿宋" w:hint="eastAsia"/>
          <w:sz w:val="32"/>
          <w:szCs w:val="32"/>
        </w:rPr>
        <w:t>HGJ22-91  GB8923-88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2310"/>
        <w:gridCol w:w="4184"/>
        <w:gridCol w:w="1558"/>
      </w:tblGrid>
      <w:tr w:rsidR="00881470" w:rsidTr="00502F77">
        <w:tc>
          <w:tcPr>
            <w:tcW w:w="844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序号</w:t>
            </w:r>
          </w:p>
        </w:tc>
        <w:tc>
          <w:tcPr>
            <w:tcW w:w="2310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控制点</w:t>
            </w:r>
          </w:p>
        </w:tc>
        <w:tc>
          <w:tcPr>
            <w:tcW w:w="4184" w:type="dxa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检验内容</w:t>
            </w:r>
          </w:p>
        </w:tc>
        <w:tc>
          <w:tcPr>
            <w:tcW w:w="1558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控制点</w:t>
            </w:r>
          </w:p>
        </w:tc>
      </w:tr>
      <w:tr w:rsidR="00881470" w:rsidTr="00502F77">
        <w:trPr>
          <w:trHeight w:val="397"/>
        </w:trPr>
        <w:tc>
          <w:tcPr>
            <w:tcW w:w="844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1</w:t>
            </w:r>
          </w:p>
        </w:tc>
        <w:tc>
          <w:tcPr>
            <w:tcW w:w="2310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材料验收</w:t>
            </w:r>
          </w:p>
        </w:tc>
        <w:tc>
          <w:tcPr>
            <w:tcW w:w="4184" w:type="dxa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a、合格证     b、检测报告</w:t>
            </w:r>
          </w:p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c、使用说明书</w:t>
            </w:r>
          </w:p>
        </w:tc>
        <w:tc>
          <w:tcPr>
            <w:tcW w:w="1558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招标方验收</w:t>
            </w:r>
          </w:p>
        </w:tc>
      </w:tr>
      <w:tr w:rsidR="00881470" w:rsidTr="00502F77">
        <w:tc>
          <w:tcPr>
            <w:tcW w:w="844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2</w:t>
            </w:r>
          </w:p>
        </w:tc>
        <w:tc>
          <w:tcPr>
            <w:tcW w:w="2310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基层处理</w:t>
            </w:r>
          </w:p>
        </w:tc>
        <w:tc>
          <w:tcPr>
            <w:tcW w:w="4184" w:type="dxa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除锈质量</w:t>
            </w:r>
          </w:p>
        </w:tc>
        <w:tc>
          <w:tcPr>
            <w:tcW w:w="1558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招标方验收</w:t>
            </w:r>
          </w:p>
        </w:tc>
      </w:tr>
      <w:tr w:rsidR="00881470" w:rsidTr="00502F77">
        <w:tc>
          <w:tcPr>
            <w:tcW w:w="844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3</w:t>
            </w:r>
          </w:p>
        </w:tc>
        <w:tc>
          <w:tcPr>
            <w:tcW w:w="2310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刷底漆</w:t>
            </w:r>
          </w:p>
        </w:tc>
        <w:tc>
          <w:tcPr>
            <w:tcW w:w="4184" w:type="dxa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a、外观质量b、涂层厚度</w:t>
            </w:r>
          </w:p>
        </w:tc>
        <w:tc>
          <w:tcPr>
            <w:tcW w:w="1558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招标方验收</w:t>
            </w:r>
          </w:p>
        </w:tc>
      </w:tr>
      <w:tr w:rsidR="00881470" w:rsidTr="00502F77">
        <w:tc>
          <w:tcPr>
            <w:tcW w:w="844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4</w:t>
            </w:r>
          </w:p>
        </w:tc>
        <w:tc>
          <w:tcPr>
            <w:tcW w:w="2310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面漆</w:t>
            </w:r>
          </w:p>
        </w:tc>
        <w:tc>
          <w:tcPr>
            <w:tcW w:w="4184" w:type="dxa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  <w:lang w:val="en-GB"/>
              </w:rPr>
              <w:t>a、外观质量   b、遍数、厚度</w:t>
            </w:r>
          </w:p>
        </w:tc>
        <w:tc>
          <w:tcPr>
            <w:tcW w:w="1558" w:type="dxa"/>
            <w:vAlign w:val="center"/>
          </w:tcPr>
          <w:p w:rsidR="00881470" w:rsidRDefault="00881470" w:rsidP="00502F77">
            <w:pPr>
              <w:tabs>
                <w:tab w:val="left" w:pos="390"/>
                <w:tab w:val="left" w:pos="2850"/>
              </w:tabs>
              <w:jc w:val="center"/>
              <w:rPr>
                <w:rFonts w:ascii="仿宋" w:eastAsia="仿宋" w:hAnsi="仿宋" w:cs="仿宋"/>
                <w:sz w:val="24"/>
                <w:lang w:val="en-GB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招标方验收</w:t>
            </w:r>
          </w:p>
        </w:tc>
      </w:tr>
    </w:tbl>
    <w:p w:rsidR="00881470" w:rsidRDefault="00881470" w:rsidP="00881470">
      <w:pPr>
        <w:rPr>
          <w:rFonts w:ascii="仿宋" w:eastAsia="仿宋" w:hAnsi="仿宋"/>
          <w:sz w:val="32"/>
          <w:szCs w:val="32"/>
        </w:rPr>
      </w:pPr>
    </w:p>
    <w:p w:rsidR="00976F77" w:rsidRPr="00881470" w:rsidRDefault="00976F77" w:rsidP="00881470"/>
    <w:sectPr w:rsidR="00976F77" w:rsidRPr="00881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447CA"/>
    <w:multiLevelType w:val="singleLevel"/>
    <w:tmpl w:val="7AF447C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9048B"/>
    <w:rsid w:val="00881470"/>
    <w:rsid w:val="00976F77"/>
    <w:rsid w:val="0125196E"/>
    <w:rsid w:val="07DA353A"/>
    <w:rsid w:val="0BB25F52"/>
    <w:rsid w:val="12700340"/>
    <w:rsid w:val="16B9048B"/>
    <w:rsid w:val="1DC3573B"/>
    <w:rsid w:val="22EE5A6D"/>
    <w:rsid w:val="2E2827A6"/>
    <w:rsid w:val="336601BA"/>
    <w:rsid w:val="33FA356E"/>
    <w:rsid w:val="3AF75497"/>
    <w:rsid w:val="3C2F4527"/>
    <w:rsid w:val="403E75CB"/>
    <w:rsid w:val="43BC2DEA"/>
    <w:rsid w:val="4DE56515"/>
    <w:rsid w:val="5F6010C7"/>
    <w:rsid w:val="5FB92B4E"/>
    <w:rsid w:val="627D383B"/>
    <w:rsid w:val="69FF5CE9"/>
    <w:rsid w:val="6F0142A7"/>
    <w:rsid w:val="78106CEA"/>
    <w:rsid w:val="781613EB"/>
    <w:rsid w:val="7F7E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2</cp:revision>
  <cp:lastPrinted>2020-02-24T08:46:00Z</cp:lastPrinted>
  <dcterms:created xsi:type="dcterms:W3CDTF">2020-02-24T09:04:00Z</dcterms:created>
  <dcterms:modified xsi:type="dcterms:W3CDTF">2020-02-24T09:04:00Z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